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left"/>
        <w:rPr>
          <w:rFonts w:hint="eastAsia" w:ascii="仿宋" w:hAnsi="仿宋" w:eastAsia="仿宋"/>
          <w:bCs/>
          <w:sz w:val="28"/>
          <w:szCs w:val="28"/>
          <w:lang w:eastAsia="zh-CN"/>
        </w:rPr>
      </w:pPr>
      <w:bookmarkStart w:id="0" w:name="_Toc378147933"/>
      <w:bookmarkStart w:id="1" w:name="_Toc378147966"/>
      <w:r>
        <w:rPr>
          <w:rFonts w:hint="eastAsia" w:ascii="仿宋" w:hAnsi="仿宋" w:eastAsia="仿宋"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 2017年度重大安全风险清单</w:t>
      </w:r>
    </w:p>
    <w:p>
      <w:pPr>
        <w:ind w:firstLine="880"/>
        <w:jc w:val="center"/>
        <w:rPr>
          <w:rFonts w:ascii="仿宋" w:hAnsi="仿宋" w:eastAsia="仿宋"/>
          <w:bCs/>
          <w:sz w:val="44"/>
          <w:u w:val="single"/>
        </w:rPr>
      </w:pPr>
    </w:p>
    <w:p>
      <w:pPr>
        <w:spacing w:before="100" w:beforeAutospacing="1" w:after="100" w:afterAutospacing="1"/>
        <w:ind w:firstLine="880"/>
        <w:jc w:val="center"/>
        <w:rPr>
          <w:rFonts w:hint="eastAsia" w:ascii="楷体" w:hAnsi="楷体" w:eastAsia="楷体" w:cs="楷体"/>
          <w:b/>
          <w:bCs w:val="0"/>
          <w:sz w:val="44"/>
          <w:szCs w:val="44"/>
        </w:rPr>
      </w:pPr>
      <w:r>
        <w:rPr>
          <w:rFonts w:hint="eastAsia" w:ascii="楷体" w:hAnsi="楷体" w:eastAsia="楷体" w:cs="楷体"/>
          <w:b/>
          <w:bCs w:val="0"/>
          <w:sz w:val="44"/>
          <w:szCs w:val="44"/>
        </w:rPr>
        <w:t>竹林山煤业有限公司</w:t>
      </w:r>
    </w:p>
    <w:p>
      <w:pPr>
        <w:spacing w:line="700" w:lineRule="exact"/>
        <w:ind w:firstLine="960"/>
        <w:jc w:val="center"/>
        <w:rPr>
          <w:rFonts w:hint="eastAsia" w:ascii="楷体" w:hAnsi="楷体" w:eastAsia="楷体" w:cs="楷体"/>
          <w:b/>
          <w:bCs w:val="0"/>
          <w:spacing w:val="20"/>
          <w:sz w:val="48"/>
          <w:szCs w:val="48"/>
        </w:rPr>
      </w:pPr>
      <w:r>
        <w:rPr>
          <w:rFonts w:hint="eastAsia" w:ascii="楷体" w:hAnsi="楷体" w:eastAsia="楷体" w:cs="楷体"/>
          <w:b/>
          <w:bCs w:val="0"/>
          <w:sz w:val="48"/>
          <w:szCs w:val="48"/>
        </w:rPr>
        <w:t>二0一七</w:t>
      </w:r>
      <w:r>
        <w:rPr>
          <w:rFonts w:hint="eastAsia" w:ascii="楷体" w:hAnsi="楷体" w:eastAsia="楷体" w:cs="楷体"/>
          <w:b/>
          <w:bCs w:val="0"/>
          <w:spacing w:val="20"/>
          <w:sz w:val="48"/>
          <w:szCs w:val="48"/>
        </w:rPr>
        <w:t>年度重大安全风险清单</w:t>
      </w:r>
    </w:p>
    <w:p>
      <w:pPr>
        <w:spacing w:line="540" w:lineRule="exact"/>
        <w:ind w:firstLine="640"/>
        <w:rPr>
          <w:rFonts w:ascii="仿宋" w:hAnsi="仿宋" w:eastAsia="仿宋"/>
          <w:sz w:val="32"/>
        </w:rPr>
      </w:pPr>
    </w:p>
    <w:p>
      <w:pPr>
        <w:spacing w:line="540" w:lineRule="exact"/>
        <w:ind w:firstLine="2000" w:firstLineChars="500"/>
        <w:rPr>
          <w:rFonts w:ascii="仿宋" w:hAnsi="仿宋" w:eastAsia="仿宋"/>
          <w:bCs/>
          <w:spacing w:val="20"/>
          <w:sz w:val="36"/>
          <w:szCs w:val="36"/>
        </w:rPr>
      </w:pPr>
    </w:p>
    <w:p>
      <w:pPr>
        <w:spacing w:line="540" w:lineRule="exact"/>
        <w:ind w:firstLine="2810" w:firstLineChars="500"/>
        <w:rPr>
          <w:rFonts w:ascii="仿宋" w:hAnsi="仿宋" w:eastAsia="仿宋"/>
          <w:b/>
          <w:bCs/>
          <w:spacing w:val="20"/>
          <w:sz w:val="52"/>
          <w:szCs w:val="52"/>
        </w:rPr>
      </w:pPr>
    </w:p>
    <w:p>
      <w:pPr>
        <w:spacing w:line="540" w:lineRule="exact"/>
        <w:ind w:firstLine="1600" w:firstLineChars="500"/>
        <w:rPr>
          <w:rFonts w:ascii="仿宋" w:hAnsi="仿宋" w:eastAsia="仿宋"/>
          <w:sz w:val="32"/>
        </w:rPr>
      </w:pPr>
    </w:p>
    <w:p>
      <w:pPr>
        <w:spacing w:line="540" w:lineRule="exact"/>
        <w:ind w:firstLine="1600" w:firstLineChars="500"/>
        <w:rPr>
          <w:rFonts w:ascii="仿宋" w:hAnsi="仿宋" w:eastAsia="仿宋"/>
          <w:sz w:val="32"/>
        </w:rPr>
      </w:pPr>
    </w:p>
    <w:p>
      <w:pPr>
        <w:spacing w:line="540" w:lineRule="exact"/>
        <w:ind w:firstLine="1600" w:firstLineChars="500"/>
        <w:rPr>
          <w:rFonts w:ascii="仿宋" w:hAnsi="仿宋" w:eastAsia="仿宋"/>
          <w:sz w:val="32"/>
        </w:rPr>
      </w:pPr>
    </w:p>
    <w:p>
      <w:pPr>
        <w:spacing w:line="540" w:lineRule="exact"/>
        <w:ind w:firstLine="1600" w:firstLineChars="500"/>
        <w:rPr>
          <w:rFonts w:ascii="仿宋" w:hAnsi="仿宋" w:eastAsia="仿宋"/>
          <w:sz w:val="32"/>
        </w:rPr>
      </w:pPr>
    </w:p>
    <w:p>
      <w:pPr>
        <w:spacing w:line="540" w:lineRule="exact"/>
        <w:ind w:firstLine="1600" w:firstLineChars="500"/>
        <w:rPr>
          <w:rFonts w:ascii="仿宋" w:hAnsi="仿宋" w:eastAsia="仿宋"/>
          <w:sz w:val="32"/>
        </w:rPr>
      </w:pPr>
    </w:p>
    <w:p>
      <w:pPr>
        <w:spacing w:line="540" w:lineRule="exact"/>
        <w:ind w:firstLine="1600" w:firstLineChars="500"/>
        <w:rPr>
          <w:rFonts w:ascii="仿宋" w:hAnsi="仿宋" w:eastAsia="仿宋"/>
          <w:sz w:val="32"/>
        </w:rPr>
      </w:pPr>
    </w:p>
    <w:p>
      <w:pPr>
        <w:spacing w:line="540" w:lineRule="exact"/>
        <w:ind w:firstLine="1600" w:firstLineChars="500"/>
        <w:rPr>
          <w:rFonts w:ascii="仿宋" w:hAnsi="仿宋" w:eastAsia="仿宋"/>
          <w:sz w:val="32"/>
        </w:rPr>
      </w:pPr>
    </w:p>
    <w:p>
      <w:pPr>
        <w:spacing w:line="540" w:lineRule="exact"/>
        <w:ind w:firstLine="1600" w:firstLineChars="500"/>
        <w:rPr>
          <w:rFonts w:ascii="仿宋" w:hAnsi="仿宋" w:eastAsia="仿宋"/>
          <w:sz w:val="32"/>
        </w:rPr>
      </w:pPr>
    </w:p>
    <w:p>
      <w:pPr>
        <w:spacing w:line="540" w:lineRule="exact"/>
        <w:ind w:firstLine="1600" w:firstLineChars="500"/>
        <w:rPr>
          <w:rFonts w:ascii="仿宋" w:hAnsi="仿宋" w:eastAsia="仿宋"/>
          <w:sz w:val="32"/>
        </w:rPr>
      </w:pPr>
    </w:p>
    <w:p>
      <w:pPr>
        <w:spacing w:line="540" w:lineRule="exact"/>
        <w:ind w:firstLine="1600" w:firstLineChars="500"/>
        <w:rPr>
          <w:rFonts w:ascii="仿宋" w:hAnsi="仿宋" w:eastAsia="仿宋"/>
          <w:sz w:val="32"/>
        </w:rPr>
      </w:pPr>
    </w:p>
    <w:p>
      <w:pPr>
        <w:spacing w:line="800" w:lineRule="exact"/>
        <w:ind w:firstLine="720"/>
        <w:jc w:val="center"/>
        <w:rPr>
          <w:rFonts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 w:cs="宋体"/>
          <w:bCs/>
          <w:sz w:val="36"/>
          <w:szCs w:val="36"/>
        </w:rPr>
        <w:t>竹林山煤业有限公司（加盖公章）</w:t>
      </w:r>
    </w:p>
    <w:p>
      <w:pPr>
        <w:spacing w:line="800" w:lineRule="exact"/>
        <w:ind w:firstLine="720"/>
        <w:jc w:val="center"/>
        <w:rPr>
          <w:rFonts w:ascii="仿宋" w:hAnsi="仿宋" w:eastAsia="仿宋"/>
          <w:bCs/>
          <w:sz w:val="36"/>
          <w:szCs w:val="36"/>
        </w:rPr>
      </w:pPr>
      <w:r>
        <w:rPr>
          <w:rFonts w:ascii="仿宋" w:hAnsi="仿宋" w:eastAsia="仿宋"/>
          <w:bCs/>
          <w:sz w:val="36"/>
          <w:szCs w:val="36"/>
        </w:rPr>
        <w:t>2017</w:t>
      </w:r>
      <w:r>
        <w:rPr>
          <w:rFonts w:hint="eastAsia" w:ascii="仿宋" w:hAnsi="仿宋" w:eastAsia="仿宋" w:cs="宋体"/>
          <w:bCs/>
          <w:sz w:val="36"/>
          <w:szCs w:val="36"/>
        </w:rPr>
        <w:t>年</w:t>
      </w:r>
      <w:r>
        <w:rPr>
          <w:rFonts w:ascii="仿宋" w:hAnsi="仿宋" w:eastAsia="仿宋"/>
          <w:bCs/>
          <w:sz w:val="36"/>
          <w:szCs w:val="36"/>
        </w:rPr>
        <w:t>4</w:t>
      </w:r>
      <w:r>
        <w:rPr>
          <w:rFonts w:hint="eastAsia" w:ascii="仿宋" w:hAnsi="仿宋" w:eastAsia="仿宋" w:cs="宋体"/>
          <w:bCs/>
          <w:sz w:val="36"/>
          <w:szCs w:val="36"/>
        </w:rPr>
        <w:t>月</w:t>
      </w:r>
      <w:r>
        <w:rPr>
          <w:rFonts w:ascii="仿宋" w:hAnsi="仿宋" w:eastAsia="仿宋"/>
          <w:bCs/>
          <w:sz w:val="36"/>
          <w:szCs w:val="36"/>
        </w:rPr>
        <w:t>2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0</w:t>
      </w:r>
      <w:r>
        <w:rPr>
          <w:rFonts w:hint="eastAsia" w:ascii="仿宋" w:hAnsi="仿宋" w:eastAsia="仿宋" w:cs="宋体"/>
          <w:bCs/>
          <w:sz w:val="36"/>
          <w:szCs w:val="36"/>
        </w:rPr>
        <w:t>日</w:t>
      </w:r>
    </w:p>
    <w:p>
      <w:pPr>
        <w:spacing w:line="360" w:lineRule="auto"/>
        <w:ind w:firstLine="640"/>
        <w:jc w:val="center"/>
        <w:rPr>
          <w:rFonts w:ascii="仿宋" w:hAnsi="仿宋" w:eastAsia="仿宋"/>
          <w:sz w:val="32"/>
          <w:szCs w:val="32"/>
        </w:rPr>
        <w:sectPr>
          <w:pgSz w:w="11906" w:h="16838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81" w:charSpace="0"/>
        </w:sectPr>
      </w:pPr>
    </w:p>
    <w:p>
      <w:pPr>
        <w:spacing w:line="360" w:lineRule="auto"/>
        <w:ind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竹林山</w:t>
      </w:r>
      <w:r>
        <w:rPr>
          <w:rFonts w:hint="eastAsia" w:ascii="仿宋" w:hAnsi="仿宋" w:eastAsia="仿宋"/>
          <w:sz w:val="32"/>
          <w:szCs w:val="32"/>
        </w:rPr>
        <w:t>煤业有限公司</w:t>
      </w:r>
      <w:r>
        <w:rPr>
          <w:rFonts w:hint="eastAsia" w:ascii="仿宋" w:hAnsi="仿宋" w:eastAsia="仿宋"/>
          <w:bCs/>
          <w:sz w:val="32"/>
          <w:szCs w:val="32"/>
        </w:rPr>
        <w:t>二</w:t>
      </w:r>
      <w:r>
        <w:rPr>
          <w:rFonts w:ascii="仿宋" w:hAnsi="仿宋" w:eastAsia="仿宋"/>
          <w:bCs/>
          <w:sz w:val="32"/>
          <w:szCs w:val="32"/>
        </w:rPr>
        <w:t>0</w:t>
      </w:r>
      <w:r>
        <w:rPr>
          <w:rFonts w:hint="eastAsia" w:ascii="仿宋" w:hAnsi="仿宋" w:eastAsia="仿宋"/>
          <w:bCs/>
          <w:sz w:val="32"/>
          <w:szCs w:val="32"/>
        </w:rPr>
        <w:t>一七年度</w:t>
      </w:r>
      <w:r>
        <w:rPr>
          <w:rFonts w:hint="eastAsia" w:ascii="仿宋" w:hAnsi="仿宋" w:eastAsia="仿宋"/>
          <w:sz w:val="32"/>
          <w:szCs w:val="32"/>
        </w:rPr>
        <w:t>重大安全风险</w:t>
      </w: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</w:p>
    <w:tbl>
      <w:tblPr>
        <w:tblStyle w:val="4"/>
        <w:tblW w:w="102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131"/>
        <w:gridCol w:w="2462"/>
        <w:gridCol w:w="4125"/>
        <w:gridCol w:w="1075"/>
        <w:gridCol w:w="8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风险地点</w:t>
            </w:r>
          </w:p>
        </w:tc>
        <w:tc>
          <w:tcPr>
            <w:tcW w:w="2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风险描述</w:t>
            </w:r>
          </w:p>
        </w:tc>
        <w:tc>
          <w:tcPr>
            <w:tcW w:w="4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主要管控措施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管控责任单位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管控责任人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2" w:name="OLE_LINK16" w:colFirst="10" w:colLast="11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1400采区各掘进工作面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遇到断层、陷落柱、褶曲等构造带瓦斯赋存情况变化较大，容易引发瓦斯大量涌出或突出等瓦斯事故。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遇到构造带时必须制定专项安全技术措施；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2.运用钻探手段探明构造产状，指导掘进作业；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3.严格测定瓦斯含量、K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值等瓦斯参数。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抽防科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区长</w:t>
            </w:r>
          </w:p>
        </w:tc>
      </w:tr>
      <w:bookmarkEnd w:id="2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9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1400采区各钻孔施工地点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打钻时，碰到夹矸或岩石摩擦，孔内缺水钻头不能及时降温，导致孔内瓦斯燃烧。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使用湿式打钻施工方法；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2.在孔口悬挂便携式报警仪，及时观察孔口瓦斯、一氧化碳浓度，发现异常现象及时处理；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3.配备足够消防设施（包括消防沙、灭火器、灭火毯、消防水管等）；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4.加强钻机司机等相关人员安全培训，提高应急处理能力；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5.遇到夹钻等情况，严禁在钻孔无水的情况下进行处理，必须保证钻孔内在有回水的情况下进行处理；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6.加强钻具的检查工作，严禁使用不完好的钻具。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抽防科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35kv变电站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雷雨等自然灾害或设备故障可能造成大面积停电，主扇停止运行，井下微风或无风，导致瓦斯积聚超限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严格执行《继电保护与安全自动装置的管理制度》，定期校验保护装置，运行值班人员按规定定期巡视，确保相关保护安全可靠；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2.严格执行《要害场所管理制度》，任何人不得随便进入，检查人员等进入必须认真填写有关检查记录；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3.执行定期检查制度，加强防雷装置接地电阻检查；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4.35kV变电站工作人员必须经考试合格、持证上岗、规范操作。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机运科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机电副矿长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3" w:name="OLE_LINK19" w:colFirst="1" w:colLast="9"/>
            <w:bookmarkStart w:id="4" w:name="OLE_LINK20" w:colFirst="1" w:colLast="8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洗煤厂筒仓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00" w:firstLineChars="2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筒仓内存煤较多，通风不畅造成瓦斯积聚，电气设备失爆、电气焊作业出现明火等情况时，造成瓦斯爆炸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设置监控监测设备；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2.安装抽排风机；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3.避免煤仓长期存煤；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4.带火危险作业应制定专项措施，提前放空煤仓。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经营副矿长</w:t>
            </w:r>
          </w:p>
        </w:tc>
      </w:tr>
      <w:bookmarkEnd w:id="3"/>
      <w:bookmarkEnd w:id="4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1400采区各掘进工作面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00" w:firstLineChars="2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掘进至矿界伏岩山老采空区附近时，由于潜在的不确定因素可能引发透水事故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每年由培训中心负责对矿井全部人员定期进行防治水知识培训；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2.预测预报：采掘过程中每月进行一次水文预报，遇异常要及时预测预报；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3.物探：每掘进60m进行一次物探。钻探：每30m进行一次钻探；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4.化探：有异常涌水的情况下取样进行分析；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5.排水系统建设：保证井上、下设立有完善的排水水系统并保证正常运行；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6.制定落实水害事故应急预案；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7.根据防隔水煤柱设计留设防隔水煤柱。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防治水办公室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0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副斜井和井下各轨道运输巷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0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因设备故障造成钢丝绳断裂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严格执行《钢丝绳管理规定》，定期试验钢丝绳，定期检查钢丝绳，不符合规定时立即更换，确保钢丝绳安全使用；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2.加强作业人员培训，绞车运行前认真检查装车数量及质量，确保装车物件不超重，且固定可靠；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3.定期试验各种保护，确保灵敏可靠；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4.严格执行《行车不行人制度》。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机运科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机电副矿长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0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架空乘人装置线路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0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设备故障等原因造成运行中的钢丝绳断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钢丝绳选型必须符合设计要求；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2.严格执行《钢丝绳管理规定》，定期试验钢丝绳，定期检查钢丝绳，不符合规定时立即更换，确保钢丝绳安全使用；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3.严格执行《架空人车巡回检查制度》，相关人员按要求检查设备各部件和钢丝绳，发现问题及时停车处理并汇报。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机运科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机电副矿长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0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井下采掘工作面电缆和电气设备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0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电缆或电气设备失爆，可能导致漏电，电火花引起火灾、瓦斯爆炸等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严格执行《防爆电气设备检查制度》，确保井下所使用电气设备符合标准，保障井下电气设备安全运行；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2.严格执行《防爆设备入井验收制度》，电气设备入井前必须经专职防爆检查员检查，不完好设备严禁入井；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3.严格执行《防爆设备检查、检修制度》，防爆检查小组定期对井下防爆设备分区检查，发现不完好及时整改。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机运科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机电副矿长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1407/1408鉴定措施巷掘进工作面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掘进工作</w:t>
            </w:r>
            <w:bookmarkStart w:id="8" w:name="_GoBack"/>
            <w:bookmarkEnd w:id="8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面过地质构造、顶板破碎带等，容易发生大面积冒顶。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5" w:name="OLE_LINK10"/>
            <w:bookmarkStart w:id="6" w:name="OLE_LINK24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1.采用钻探方法查明地质构造，确定过地质构造的合理掘进方案。</w:t>
            </w:r>
          </w:p>
          <w:bookmarkEnd w:id="5"/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bookmarkStart w:id="7" w:name="OLE_LINK27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.制定过地质构造的专项安全技术措施。</w:t>
            </w:r>
            <w:bookmarkEnd w:id="6"/>
            <w:bookmarkEnd w:id="7"/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综掘队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生产副矿长</w:t>
            </w:r>
          </w:p>
        </w:tc>
      </w:tr>
      <w:bookmarkEnd w:id="0"/>
      <w:bookmarkEnd w:id="1"/>
    </w:tbl>
    <w:p>
      <w:pPr>
        <w:ind w:left="0" w:leftChars="0" w:firstLine="0" w:firstLineChars="0"/>
        <w:rPr>
          <w:rFonts w:hint="eastAsia" w:ascii="仿宋" w:hAnsi="仿宋" w:eastAsia="仿宋" w:cs="仿宋"/>
          <w:lang w:eastAsia="zh-CN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02803"/>
    <w:multiLevelType w:val="singleLevel"/>
    <w:tmpl w:val="5920280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202819"/>
    <w:multiLevelType w:val="singleLevel"/>
    <w:tmpl w:val="59202819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9202DAA"/>
    <w:multiLevelType w:val="singleLevel"/>
    <w:tmpl w:val="59202DAA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9202DCC"/>
    <w:multiLevelType w:val="singleLevel"/>
    <w:tmpl w:val="59202DCC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9202DE6"/>
    <w:multiLevelType w:val="singleLevel"/>
    <w:tmpl w:val="59202DE6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9202E09"/>
    <w:multiLevelType w:val="singleLevel"/>
    <w:tmpl w:val="59202E09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59202E2E"/>
    <w:multiLevelType w:val="singleLevel"/>
    <w:tmpl w:val="59202E2E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59202E45"/>
    <w:multiLevelType w:val="singleLevel"/>
    <w:tmpl w:val="59202E4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B05D17"/>
    <w:rsid w:val="251A40FD"/>
    <w:rsid w:val="291342B7"/>
    <w:rsid w:val="3A8C3D25"/>
    <w:rsid w:val="40A05DDB"/>
    <w:rsid w:val="42DF16D7"/>
    <w:rsid w:val="44FF6C63"/>
    <w:rsid w:val="4FA52E43"/>
    <w:rsid w:val="52A66FD9"/>
    <w:rsid w:val="53415AB7"/>
    <w:rsid w:val="53DA2238"/>
    <w:rsid w:val="5B136EB7"/>
    <w:rsid w:val="5C204EBA"/>
    <w:rsid w:val="61CA36A7"/>
    <w:rsid w:val="6C4C7697"/>
    <w:rsid w:val="703F20D5"/>
    <w:rsid w:val="7CC945F8"/>
    <w:rsid w:val="7E0E69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after="20" w:line="360" w:lineRule="auto"/>
      <w:jc w:val="left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6">
    <w:name w:val="标题 1 Char"/>
    <w:link w:val="2"/>
    <w:qFormat/>
    <w:uiPriority w:val="0"/>
    <w:rPr>
      <w:rFonts w:ascii="Times New Roman" w:hAnsi="Times New Roman" w:eastAsia="宋体"/>
      <w:b/>
      <w:bCs/>
      <w:kern w:val="44"/>
      <w:sz w:val="28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1572</Words>
  <Characters>1626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Lenovo</cp:lastModifiedBy>
  <dcterms:modified xsi:type="dcterms:W3CDTF">2017-06-09T00:37:45Z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